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5B" w:rsidRPr="00E8675B" w:rsidRDefault="00E8675B" w:rsidP="00E8675B">
      <w:pPr>
        <w:ind w:right="282"/>
        <w:rPr>
          <w:rFonts w:eastAsia="Times New Roman" w:cs="Times New Roman"/>
          <w:sz w:val="24"/>
          <w:szCs w:val="24"/>
          <w:lang w:val="en-US" w:eastAsia="ru-RU"/>
        </w:rPr>
      </w:pPr>
    </w:p>
    <w:tbl>
      <w:tblPr>
        <w:tblW w:w="9889" w:type="dxa"/>
        <w:tblLook w:val="0000" w:firstRow="0" w:lastRow="0" w:firstColumn="0" w:lastColumn="0" w:noHBand="0" w:noVBand="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firstRow="0" w:lastRow="0" w:firstColumn="0" w:lastColumn="0" w:noHBand="0" w:noVBand="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2D590E">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2D590E">
                    <w:rPr>
                      <w:b/>
                      <w:bCs/>
                      <w:sz w:val="24"/>
                      <w:szCs w:val="24"/>
                    </w:rPr>
                    <w:t>17</w:t>
                  </w:r>
                  <w:r w:rsidR="00C61D90" w:rsidRPr="00C61D90">
                    <w:rPr>
                      <w:b/>
                      <w:bCs/>
                      <w:sz w:val="24"/>
                      <w:szCs w:val="24"/>
                    </w:rPr>
                    <w:t>.</w:t>
                  </w:r>
                  <w:r w:rsidR="002D590E">
                    <w:rPr>
                      <w:b/>
                      <w:bCs/>
                      <w:sz w:val="24"/>
                      <w:szCs w:val="24"/>
                    </w:rPr>
                    <w:t>11</w:t>
                  </w:r>
                  <w:r w:rsidR="00915CE4">
                    <w:rPr>
                      <w:b/>
                      <w:bCs/>
                      <w:sz w:val="24"/>
                      <w:szCs w:val="24"/>
                    </w:rPr>
                    <w:t>.</w:t>
                  </w:r>
                  <w:r w:rsidR="002A19F9">
                    <w:rPr>
                      <w:b/>
                      <w:bCs/>
                      <w:sz w:val="24"/>
                      <w:szCs w:val="24"/>
                    </w:rPr>
                    <w:t>2025</w:t>
                  </w:r>
                  <w:r w:rsidR="00C61D90" w:rsidRPr="00C61D90">
                    <w:rPr>
                      <w:b/>
                      <w:bCs/>
                      <w:sz w:val="24"/>
                      <w:szCs w:val="24"/>
                    </w:rPr>
                    <w:t xml:space="preserve"> №</w:t>
                  </w:r>
                  <w:bookmarkStart w:id="0" w:name="_GoBack"/>
                  <w:bookmarkEnd w:id="0"/>
                  <w:r w:rsidR="002D590E">
                    <w:rPr>
                      <w:b/>
                      <w:bCs/>
                      <w:sz w:val="24"/>
                      <w:szCs w:val="24"/>
                    </w:rPr>
                    <w:t>75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firstRow="0" w:lastRow="0" w:firstColumn="0" w:lastColumn="0" w:noHBand="0" w:noVBand="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E8675B" w:rsidRDefault="00E8675B" w:rsidP="000C6444">
                  <w:pPr>
                    <w:widowControl w:val="0"/>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236470" w:rsidRPr="00236470" w:rsidRDefault="00236470" w:rsidP="00236470">
      <w:pPr>
        <w:ind w:left="-142"/>
        <w:jc w:val="center"/>
        <w:rPr>
          <w:b/>
          <w:u w:val="single"/>
        </w:rPr>
      </w:pPr>
      <w:r w:rsidRPr="00236470">
        <w:rPr>
          <w:b/>
          <w:u w:val="single"/>
        </w:rPr>
        <w:t xml:space="preserve">Косівський відділ Західного міжрегіонального управління </w:t>
      </w:r>
    </w:p>
    <w:p w:rsidR="00236470" w:rsidRPr="00236470" w:rsidRDefault="00236470" w:rsidP="00236470">
      <w:pPr>
        <w:ind w:left="-142"/>
        <w:jc w:val="center"/>
        <w:rPr>
          <w:rFonts w:ascii="Verdana" w:hAnsi="Verdana"/>
          <w:sz w:val="14"/>
          <w:szCs w:val="16"/>
          <w:u w:val="single"/>
        </w:rPr>
      </w:pPr>
      <w:r w:rsidRPr="00236470">
        <w:rPr>
          <w:b/>
          <w:u w:val="single"/>
        </w:rPr>
        <w:t>Державної міграційної служби</w:t>
      </w:r>
      <w:r w:rsidRPr="00236470">
        <w:rPr>
          <w:rFonts w:ascii="Verdana" w:hAnsi="Verdana"/>
          <w:sz w:val="14"/>
          <w:szCs w:val="16"/>
          <w:u w:val="single"/>
        </w:rPr>
        <w:t xml:space="preserve"> </w:t>
      </w:r>
    </w:p>
    <w:p w:rsidR="00E8675B" w:rsidRPr="00236470" w:rsidRDefault="00E8675B" w:rsidP="00E8675B">
      <w:pPr>
        <w:jc w:val="center"/>
        <w:rPr>
          <w:rFonts w:ascii="Verdana" w:eastAsia="Times New Roman" w:hAnsi="Verdana" w:cs="Times New Roman"/>
          <w:sz w:val="16"/>
          <w:szCs w:val="16"/>
          <w:lang w:eastAsia="uk-UA"/>
        </w:rPr>
      </w:pPr>
      <w:r w:rsidRPr="00236470">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36470" w:rsidRDefault="00E8675B" w:rsidP="009F56FC">
            <w:pPr>
              <w:jc w:val="center"/>
              <w:rPr>
                <w:rFonts w:ascii="Verdana" w:eastAsia="Times New Roman" w:hAnsi="Verdana" w:cs="Times New Roman"/>
                <w:color w:val="000000" w:themeColor="text1"/>
                <w:sz w:val="16"/>
                <w:szCs w:val="16"/>
                <w:lang w:eastAsia="uk-UA"/>
              </w:rPr>
            </w:pPr>
            <w:r w:rsidRPr="00236470">
              <w:rPr>
                <w:rFonts w:eastAsia="Times New Roman" w:cs="Times New Roman"/>
                <w:color w:val="000000" w:themeColor="text1"/>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752EDB" w:rsidRPr="008578EE" w:rsidRDefault="00752EDB" w:rsidP="00752EDB">
            <w:pPr>
              <w:jc w:val="center"/>
              <w:rPr>
                <w:sz w:val="20"/>
                <w:szCs w:val="20"/>
              </w:rPr>
            </w:pPr>
            <w:r w:rsidRPr="008578EE">
              <w:rPr>
                <w:sz w:val="20"/>
                <w:szCs w:val="20"/>
              </w:rPr>
              <w:t xml:space="preserve">78601, Івано-Франківська область, </w:t>
            </w:r>
          </w:p>
          <w:p w:rsidR="00E8675B" w:rsidRPr="00236470" w:rsidRDefault="00752EDB" w:rsidP="00752EDB">
            <w:pPr>
              <w:jc w:val="center"/>
              <w:rPr>
                <w:sz w:val="20"/>
                <w:szCs w:val="20"/>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36470" w:rsidRDefault="009D2E76" w:rsidP="009D2E76">
            <w:pPr>
              <w:jc w:val="center"/>
              <w:rPr>
                <w:rFonts w:ascii="Verdana" w:eastAsia="Times New Roman" w:hAnsi="Verdana" w:cs="Times New Roman"/>
                <w:color w:val="000000" w:themeColor="text1"/>
                <w:sz w:val="16"/>
                <w:szCs w:val="16"/>
                <w:lang w:eastAsia="uk-UA"/>
              </w:rPr>
            </w:pPr>
            <w:r w:rsidRPr="00236470">
              <w:rPr>
                <w:rFonts w:eastAsia="Times New Roman" w:cs="Times New Roman"/>
                <w:color w:val="000000" w:themeColor="text1"/>
                <w:sz w:val="20"/>
                <w:szCs w:val="20"/>
                <w:lang w:eastAsia="uk-UA"/>
              </w:rPr>
              <w:t>Режим</w:t>
            </w:r>
            <w:r w:rsidR="00E8675B" w:rsidRPr="00236470">
              <w:rPr>
                <w:rFonts w:eastAsia="Times New Roman" w:cs="Times New Roman"/>
                <w:color w:val="000000" w:themeColor="text1"/>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752EDB" w:rsidRPr="008578EE" w:rsidRDefault="00752EDB" w:rsidP="00752EDB">
            <w:pPr>
              <w:rPr>
                <w:sz w:val="20"/>
                <w:szCs w:val="20"/>
              </w:rPr>
            </w:pPr>
            <w:r>
              <w:rPr>
                <w:sz w:val="20"/>
                <w:szCs w:val="20"/>
              </w:rPr>
              <w:t xml:space="preserve">Дні тижня                Робочі години                </w:t>
            </w:r>
            <w:r w:rsidRPr="008578EE">
              <w:rPr>
                <w:sz w:val="20"/>
                <w:szCs w:val="20"/>
              </w:rPr>
              <w:t>Обідня перерва</w:t>
            </w:r>
          </w:p>
          <w:p w:rsidR="00752EDB" w:rsidRPr="008578EE" w:rsidRDefault="00752EDB" w:rsidP="00752EDB">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752EDB" w:rsidRPr="008578EE" w:rsidRDefault="00752EDB" w:rsidP="00752EDB">
            <w:pPr>
              <w:rPr>
                <w:sz w:val="20"/>
                <w:szCs w:val="20"/>
              </w:rPr>
            </w:pPr>
            <w:r w:rsidRPr="008578EE">
              <w:rPr>
                <w:sz w:val="20"/>
                <w:szCs w:val="20"/>
              </w:rPr>
              <w:t>вівторок                    9:00 - 18:00                    13:00 - 13:45</w:t>
            </w:r>
          </w:p>
          <w:p w:rsidR="00752EDB" w:rsidRPr="008578EE" w:rsidRDefault="00752EDB" w:rsidP="00752EDB">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752EDB" w:rsidRPr="008578EE" w:rsidRDefault="00752EDB" w:rsidP="00752EDB">
            <w:pPr>
              <w:rPr>
                <w:sz w:val="20"/>
                <w:szCs w:val="20"/>
              </w:rPr>
            </w:pPr>
            <w:r w:rsidRPr="008578EE">
              <w:rPr>
                <w:sz w:val="20"/>
                <w:szCs w:val="20"/>
              </w:rPr>
              <w:t>четвер                       9:00 - 18:00                    13:00 - 13:45</w:t>
            </w:r>
          </w:p>
          <w:p w:rsidR="00752EDB" w:rsidRPr="008578EE" w:rsidRDefault="00752EDB" w:rsidP="00752EDB">
            <w:pPr>
              <w:rPr>
                <w:sz w:val="20"/>
                <w:szCs w:val="20"/>
              </w:rPr>
            </w:pPr>
            <w:r w:rsidRPr="008578EE">
              <w:rPr>
                <w:sz w:val="20"/>
                <w:szCs w:val="20"/>
              </w:rPr>
              <w:t>п’ятниця                   9:00 - 18:00                    13:00 - 13:45</w:t>
            </w:r>
          </w:p>
          <w:p w:rsidR="00752EDB" w:rsidRPr="008578EE" w:rsidRDefault="00752EDB" w:rsidP="00752EDB">
            <w:pPr>
              <w:rPr>
                <w:sz w:val="20"/>
                <w:szCs w:val="20"/>
              </w:rPr>
            </w:pPr>
            <w:r w:rsidRPr="008578EE">
              <w:rPr>
                <w:sz w:val="20"/>
                <w:szCs w:val="20"/>
              </w:rPr>
              <w:t>субота                       8:00 - 15:45                    12:00 - 12:45</w:t>
            </w:r>
          </w:p>
          <w:p w:rsidR="00E8675B" w:rsidRPr="00236470" w:rsidRDefault="00752EDB" w:rsidP="00752EDB">
            <w:pPr>
              <w:rPr>
                <w:rFonts w:ascii="Verdana" w:hAnsi="Verdana"/>
                <w:sz w:val="16"/>
                <w:szCs w:val="16"/>
              </w:rPr>
            </w:pPr>
            <w:r w:rsidRPr="008578EE">
              <w:rPr>
                <w:sz w:val="20"/>
                <w:szCs w:val="20"/>
              </w:rPr>
              <w:t xml:space="preserve">неділя                       вихідний                         </w:t>
            </w:r>
            <w:proofErr w:type="spellStart"/>
            <w:r w:rsidRPr="008578EE">
              <w:rPr>
                <w:sz w:val="20"/>
                <w:szCs w:val="20"/>
              </w:rPr>
              <w:t>вихідний</w:t>
            </w:r>
            <w:proofErr w:type="spellEnd"/>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36470" w:rsidRDefault="009D2E76" w:rsidP="009F56FC">
            <w:pPr>
              <w:jc w:val="center"/>
              <w:rPr>
                <w:rFonts w:ascii="Verdana" w:eastAsia="Times New Roman" w:hAnsi="Verdana" w:cs="Times New Roman"/>
                <w:color w:val="000000" w:themeColor="text1"/>
                <w:sz w:val="16"/>
                <w:szCs w:val="16"/>
                <w:lang w:eastAsia="uk-UA"/>
              </w:rPr>
            </w:pPr>
            <w:r w:rsidRPr="00236470">
              <w:rPr>
                <w:rFonts w:eastAsia="Times New Roman" w:cs="Times New Roman"/>
                <w:color w:val="000000" w:themeColor="text1"/>
                <w:sz w:val="20"/>
                <w:szCs w:val="20"/>
                <w:lang w:eastAsia="uk-UA"/>
              </w:rPr>
              <w:t>Телефон</w:t>
            </w:r>
            <w:r w:rsidR="00E8675B" w:rsidRPr="00236470">
              <w:rPr>
                <w:rFonts w:eastAsia="Times New Roman" w:cs="Times New Roman"/>
                <w:color w:val="000000" w:themeColor="text1"/>
                <w:sz w:val="20"/>
                <w:szCs w:val="20"/>
                <w:lang w:eastAsia="uk-UA"/>
              </w:rPr>
              <w:t xml:space="preserve">, </w:t>
            </w:r>
            <w:r w:rsidRPr="00236470">
              <w:rPr>
                <w:rFonts w:eastAsia="Times New Roman" w:cs="Times New Roman"/>
                <w:color w:val="000000" w:themeColor="text1"/>
                <w:sz w:val="20"/>
                <w:szCs w:val="20"/>
                <w:lang w:eastAsia="uk-UA"/>
              </w:rPr>
              <w:t>адреса електронної</w:t>
            </w:r>
            <w:r w:rsidR="008552AC" w:rsidRPr="00236470">
              <w:rPr>
                <w:rFonts w:eastAsia="Times New Roman" w:cs="Times New Roman"/>
                <w:color w:val="000000" w:themeColor="text1"/>
                <w:sz w:val="20"/>
                <w:szCs w:val="20"/>
                <w:lang w:eastAsia="uk-UA"/>
              </w:rPr>
              <w:t xml:space="preserve"> пошти</w:t>
            </w:r>
            <w:r w:rsidRPr="00236470">
              <w:rPr>
                <w:rFonts w:eastAsia="Times New Roman" w:cs="Times New Roman"/>
                <w:color w:val="000000" w:themeColor="text1"/>
                <w:sz w:val="20"/>
                <w:szCs w:val="20"/>
                <w:lang w:eastAsia="uk-UA"/>
              </w:rPr>
              <w:t xml:space="preserve">, </w:t>
            </w:r>
            <w:proofErr w:type="spellStart"/>
            <w:r w:rsidRPr="00236470">
              <w:rPr>
                <w:rFonts w:eastAsia="Times New Roman" w:cs="Times New Roman"/>
                <w:color w:val="000000" w:themeColor="text1"/>
                <w:sz w:val="20"/>
                <w:szCs w:val="20"/>
                <w:lang w:eastAsia="uk-UA"/>
              </w:rPr>
              <w:t>веб</w:t>
            </w:r>
            <w:r w:rsidR="00E8675B" w:rsidRPr="00236470">
              <w:rPr>
                <w:rFonts w:eastAsia="Times New Roman" w:cs="Times New Roman"/>
                <w:color w:val="000000" w:themeColor="text1"/>
                <w:sz w:val="20"/>
                <w:szCs w:val="20"/>
                <w:lang w:eastAsia="uk-UA"/>
              </w:rPr>
              <w:t>сайт</w:t>
            </w:r>
            <w:proofErr w:type="spellEnd"/>
            <w:r w:rsidR="00E8675B" w:rsidRPr="00236470">
              <w:rPr>
                <w:rFonts w:eastAsia="Times New Roman" w:cs="Times New Roman"/>
                <w:color w:val="000000" w:themeColor="text1"/>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752EDB" w:rsidRPr="008578EE" w:rsidRDefault="00752EDB" w:rsidP="00752EDB">
            <w:pPr>
              <w:jc w:val="center"/>
              <w:rPr>
                <w:sz w:val="20"/>
                <w:szCs w:val="20"/>
              </w:rPr>
            </w:pPr>
            <w:r w:rsidRPr="008578EE">
              <w:rPr>
                <w:sz w:val="20"/>
                <w:szCs w:val="20"/>
              </w:rPr>
              <w:t>0347820224</w:t>
            </w:r>
          </w:p>
          <w:p w:rsidR="00752EDB" w:rsidRDefault="00EA69A4" w:rsidP="00752EDB">
            <w:pPr>
              <w:jc w:val="center"/>
              <w:rPr>
                <w:sz w:val="20"/>
                <w:szCs w:val="20"/>
                <w:lang w:eastAsia="uk-UA"/>
              </w:rPr>
            </w:pPr>
            <w:hyperlink r:id="rId8" w:history="1">
              <w:r w:rsidR="00752EDB" w:rsidRPr="008578EE">
                <w:rPr>
                  <w:rStyle w:val="a5"/>
                  <w:sz w:val="20"/>
                  <w:szCs w:val="20"/>
                </w:rPr>
                <w:t>2620</w:t>
              </w:r>
              <w:r w:rsidR="00752EDB" w:rsidRPr="00E5477F">
                <w:rPr>
                  <w:rStyle w:val="a5"/>
                  <w:sz w:val="20"/>
                  <w:szCs w:val="20"/>
                </w:rPr>
                <w:t>@</w:t>
              </w:r>
              <w:proofErr w:type="spellStart"/>
              <w:r w:rsidR="00752EDB" w:rsidRPr="008578EE">
                <w:rPr>
                  <w:rStyle w:val="a5"/>
                  <w:sz w:val="20"/>
                  <w:szCs w:val="20"/>
                  <w:lang w:val="en-US"/>
                </w:rPr>
                <w:t>dmsu</w:t>
              </w:r>
              <w:proofErr w:type="spellEnd"/>
              <w:r w:rsidR="00752EDB" w:rsidRPr="00E5477F">
                <w:rPr>
                  <w:rStyle w:val="a5"/>
                  <w:sz w:val="20"/>
                  <w:szCs w:val="20"/>
                </w:rPr>
                <w:t>.</w:t>
              </w:r>
              <w:proofErr w:type="spellStart"/>
              <w:r w:rsidR="00752EDB" w:rsidRPr="008578EE">
                <w:rPr>
                  <w:rStyle w:val="a5"/>
                  <w:sz w:val="20"/>
                  <w:szCs w:val="20"/>
                  <w:lang w:val="en-US"/>
                </w:rPr>
                <w:t>gov</w:t>
              </w:r>
              <w:proofErr w:type="spellEnd"/>
              <w:r w:rsidR="00752EDB" w:rsidRPr="00E5477F">
                <w:rPr>
                  <w:rStyle w:val="a5"/>
                  <w:sz w:val="20"/>
                  <w:szCs w:val="20"/>
                </w:rPr>
                <w:t>.</w:t>
              </w:r>
              <w:proofErr w:type="spellStart"/>
              <w:r w:rsidR="00752EDB" w:rsidRPr="008578EE">
                <w:rPr>
                  <w:rStyle w:val="a5"/>
                  <w:sz w:val="20"/>
                  <w:szCs w:val="20"/>
                  <w:lang w:val="en-US"/>
                </w:rPr>
                <w:t>ua</w:t>
              </w:r>
              <w:proofErr w:type="spellEnd"/>
            </w:hyperlink>
            <w:r w:rsidR="00752EDB" w:rsidRPr="008578EE">
              <w:rPr>
                <w:sz w:val="20"/>
                <w:szCs w:val="20"/>
                <w:lang w:eastAsia="uk-UA"/>
              </w:rPr>
              <w:t> </w:t>
            </w:r>
          </w:p>
          <w:p w:rsidR="00E8675B" w:rsidRPr="00236470" w:rsidRDefault="00752EDB" w:rsidP="00752EDB">
            <w:pPr>
              <w:jc w:val="center"/>
              <w:rPr>
                <w:rFonts w:ascii="Verdana" w:hAnsi="Verdana"/>
                <w:sz w:val="16"/>
                <w:szCs w:val="16"/>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влади/ органів місцевого </w:t>
            </w:r>
            <w:r w:rsidRPr="00E8675B">
              <w:rPr>
                <w:rFonts w:eastAsia="Times New Roman" w:cs="Times New Roman"/>
                <w:sz w:val="20"/>
                <w:szCs w:val="20"/>
                <w:lang w:eastAsia="uk-UA"/>
              </w:rPr>
              <w:lastRenderedPageBreak/>
              <w:t>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1" w:name="n121"/>
            <w:bookmarkEnd w:id="1"/>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2" w:name="n122"/>
            <w:bookmarkEnd w:id="2"/>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3" w:name="n123"/>
            <w:bookmarkEnd w:id="3"/>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4" w:name="n124"/>
            <w:bookmarkEnd w:id="4"/>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5" w:name="n125"/>
            <w:bookmarkEnd w:id="5"/>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6" w:name="n126"/>
            <w:bookmarkEnd w:id="6"/>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7" w:name="n127"/>
            <w:bookmarkEnd w:id="7"/>
            <w:r w:rsidRPr="00DE54B8">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w:t>
            </w:r>
            <w:r w:rsidRPr="00DE54B8">
              <w:rPr>
                <w:rFonts w:eastAsia="Times New Roman" w:cs="Times New Roman"/>
                <w:sz w:val="20"/>
                <w:szCs w:val="20"/>
                <w:lang w:eastAsia="uk-UA"/>
              </w:rPr>
              <w:lastRenderedPageBreak/>
              <w:t>ДМС ори</w:t>
            </w:r>
            <w:r>
              <w:rPr>
                <w:rFonts w:eastAsia="Times New Roman" w:cs="Times New Roman"/>
                <w:sz w:val="20"/>
                <w:szCs w:val="20"/>
                <w:lang w:eastAsia="uk-UA"/>
              </w:rPr>
              <w:t xml:space="preserve">гінали документів, зазначених у </w:t>
            </w:r>
            <w:hyperlink r:id="rId9"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8" w:name="n128"/>
            <w:bookmarkEnd w:id="8"/>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10"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1"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9" w:name="n129"/>
            <w:bookmarkEnd w:id="9"/>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4"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5"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6"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10" w:name="n118"/>
            <w:bookmarkStart w:id="11" w:name="n119"/>
            <w:bookmarkEnd w:id="10"/>
            <w:bookmarkEnd w:id="11"/>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w:t>
            </w:r>
            <w:r w:rsidRPr="001D5B68">
              <w:rPr>
                <w:rFonts w:eastAsia="Times New Roman" w:cs="Courier New"/>
                <w:bCs/>
                <w:color w:val="000000"/>
                <w:sz w:val="20"/>
                <w:szCs w:val="20"/>
                <w:lang w:eastAsia="uk-UA"/>
              </w:rPr>
              <w:lastRenderedPageBreak/>
              <w:t>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 xml:space="preserve">17 </w:t>
            </w:r>
            <w:proofErr w:type="spellStart"/>
            <w:r w:rsidR="00A206D2">
              <w:rPr>
                <w:rFonts w:eastAsia="Times New Roman" w:cs="Times New Roman"/>
                <w:sz w:val="20"/>
                <w:szCs w:val="20"/>
                <w:lang w:eastAsia="ru-RU"/>
              </w:rPr>
              <w:t>грн</w:t>
            </w:r>
            <w:proofErr w:type="spellEnd"/>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36470" w:rsidRDefault="00E8675B" w:rsidP="00E8675B">
            <w:pPr>
              <w:jc w:val="center"/>
              <w:rPr>
                <w:rFonts w:ascii="Verdana" w:eastAsia="Times New Roman" w:hAnsi="Verdana" w:cs="Times New Roman"/>
                <w:sz w:val="16"/>
                <w:szCs w:val="16"/>
                <w:lang w:eastAsia="uk-UA"/>
              </w:rPr>
            </w:pPr>
            <w:r w:rsidRPr="00236470">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0668A" w:rsidRDefault="0040668A" w:rsidP="0040668A">
            <w:pPr>
              <w:jc w:val="both"/>
              <w:rPr>
                <w:sz w:val="20"/>
                <w:szCs w:val="20"/>
                <w:lang w:eastAsia="uk-UA"/>
              </w:rPr>
            </w:pPr>
            <w:r>
              <w:rPr>
                <w:rFonts w:cs="Verdana"/>
                <w:sz w:val="20"/>
                <w:szCs w:val="20"/>
                <w:lang w:eastAsia="uk-UA"/>
              </w:rPr>
              <w:t>Адміністративний збір за продовження строку перебування іноземців та осіб без громадянства на території України.</w:t>
            </w:r>
          </w:p>
          <w:p w:rsidR="0040668A" w:rsidRDefault="0040668A" w:rsidP="0040668A">
            <w:pPr>
              <w:jc w:val="both"/>
              <w:rPr>
                <w:sz w:val="20"/>
                <w:szCs w:val="20"/>
                <w:lang w:eastAsia="uk-UA"/>
              </w:rPr>
            </w:pPr>
            <w:r>
              <w:rPr>
                <w:sz w:val="20"/>
                <w:szCs w:val="20"/>
                <w:lang w:eastAsia="uk-UA"/>
              </w:rPr>
              <w:t>Дата здійснення операції:</w:t>
            </w:r>
          </w:p>
          <w:p w:rsidR="0040668A" w:rsidRDefault="00031F63" w:rsidP="0040668A">
            <w:pPr>
              <w:jc w:val="both"/>
              <w:rPr>
                <w:sz w:val="20"/>
                <w:szCs w:val="20"/>
                <w:lang w:eastAsia="uk-UA"/>
              </w:rPr>
            </w:pPr>
            <w:r>
              <w:rPr>
                <w:sz w:val="20"/>
                <w:szCs w:val="20"/>
                <w:lang w:eastAsia="uk-UA"/>
              </w:rPr>
              <w:t>Сума:                 44.85</w:t>
            </w:r>
          </w:p>
          <w:p w:rsidR="0040668A" w:rsidRDefault="0040668A" w:rsidP="0040668A">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031F63" w:rsidRDefault="00031F63" w:rsidP="00031F63">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031F63" w:rsidRPr="00FB1690" w:rsidRDefault="00031F63" w:rsidP="00031F63">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color w:val="000000"/>
                <w:sz w:val="20"/>
                <w:szCs w:val="20"/>
              </w:rPr>
              <w:t>45870769</w:t>
            </w:r>
          </w:p>
          <w:p w:rsidR="00031F63" w:rsidRDefault="00031F63" w:rsidP="00031F63">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31F63" w:rsidRPr="00551203" w:rsidRDefault="00031F63" w:rsidP="00031F63">
            <w:pPr>
              <w:widowControl w:val="0"/>
              <w:tabs>
                <w:tab w:val="left" w:pos="1422"/>
                <w:tab w:val="left" w:pos="4734"/>
                <w:tab w:val="left" w:pos="5220"/>
              </w:tabs>
              <w:rPr>
                <w:sz w:val="20"/>
                <w:szCs w:val="20"/>
              </w:rPr>
            </w:pPr>
            <w:r>
              <w:rPr>
                <w:color w:val="000000"/>
                <w:sz w:val="20"/>
                <w:szCs w:val="20"/>
              </w:rPr>
              <w:t>Номер рахунку(IBAN):</w:t>
            </w:r>
            <w:r>
              <w:rPr>
                <w:rFonts w:eastAsia="Calibri" w:cs="Calibri"/>
                <w:color w:val="000000"/>
                <w:sz w:val="20"/>
                <w:szCs w:val="20"/>
              </w:rPr>
              <w:t>UA</w:t>
            </w:r>
            <w:r w:rsidRPr="00551203">
              <w:rPr>
                <w:rFonts w:eastAsia="Calibri" w:cs="Calibri"/>
                <w:color w:val="000000"/>
                <w:sz w:val="20"/>
                <w:szCs w:val="20"/>
              </w:rPr>
              <w:t>688201720355119077000001687</w:t>
            </w:r>
          </w:p>
          <w:p w:rsidR="00031F63" w:rsidRDefault="00031F63" w:rsidP="00031F63">
            <w:pPr>
              <w:widowControl w:val="0"/>
              <w:tabs>
                <w:tab w:val="left" w:pos="1422"/>
                <w:tab w:val="left" w:pos="4734"/>
                <w:tab w:val="left" w:pos="5220"/>
              </w:tabs>
              <w:jc w:val="both"/>
              <w:rPr>
                <w:rFonts w:eastAsia="Calibri" w:cs="Calibri"/>
                <w:color w:val="000000"/>
                <w:sz w:val="20"/>
                <w:szCs w:val="20"/>
                <w:lang w:eastAsia="uk-UA"/>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*;4</w:t>
            </w:r>
            <w:r w:rsidRPr="00F637F7">
              <w:rPr>
                <w:rFonts w:eastAsia="Calibri" w:cs="Calibri"/>
                <w:color w:val="000000"/>
                <w:sz w:val="20"/>
                <w:szCs w:val="20"/>
                <w:lang w:eastAsia="uk-UA"/>
              </w:rPr>
              <w:t>52606</w:t>
            </w:r>
            <w:r>
              <w:rPr>
                <w:rFonts w:eastAsia="Calibri" w:cs="Calibri"/>
                <w:color w:val="000000"/>
                <w:sz w:val="20"/>
                <w:szCs w:val="20"/>
                <w:lang w:eastAsia="uk-UA"/>
              </w:rPr>
              <w:t>;1040018;1;серія та номер паспортного документа іноземця</w:t>
            </w:r>
          </w:p>
          <w:p w:rsidR="00031F63" w:rsidRDefault="00031F63" w:rsidP="00031F63">
            <w:pPr>
              <w:widowControl w:val="0"/>
              <w:tabs>
                <w:tab w:val="left" w:pos="1422"/>
                <w:tab w:val="left" w:pos="4734"/>
                <w:tab w:val="left" w:pos="5220"/>
              </w:tabs>
              <w:jc w:val="both"/>
              <w:rPr>
                <w:rFonts w:eastAsia="Calibri" w:cs="Calibri"/>
                <w:color w:val="000000"/>
                <w:sz w:val="20"/>
                <w:szCs w:val="20"/>
                <w:lang w:eastAsia="uk-UA"/>
              </w:rPr>
            </w:pPr>
          </w:p>
          <w:p w:rsidR="00031F63" w:rsidRDefault="00031F63" w:rsidP="00031F63">
            <w:pPr>
              <w:jc w:val="both"/>
              <w:rPr>
                <w:sz w:val="20"/>
                <w:szCs w:val="20"/>
                <w:lang w:eastAsia="uk-UA"/>
              </w:rPr>
            </w:pPr>
            <w:r>
              <w:rPr>
                <w:sz w:val="20"/>
                <w:szCs w:val="20"/>
                <w:lang w:eastAsia="uk-UA"/>
              </w:rPr>
              <w:t>Сума:                 302,80</w:t>
            </w:r>
          </w:p>
          <w:p w:rsidR="00031F63" w:rsidRDefault="00031F63" w:rsidP="00031F63">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031F63" w:rsidRPr="00766AB5" w:rsidRDefault="00031F63" w:rsidP="00031F63">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031F63" w:rsidRPr="00FB1690" w:rsidRDefault="00031F63" w:rsidP="00031F63">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color w:val="000000"/>
                <w:sz w:val="20"/>
                <w:szCs w:val="20"/>
              </w:rPr>
              <w:t>45870769</w:t>
            </w:r>
          </w:p>
          <w:p w:rsidR="00031F63" w:rsidRDefault="00031F63" w:rsidP="00031F63">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31F63" w:rsidRDefault="00031F63" w:rsidP="00031F63">
            <w:pPr>
              <w:widowControl w:val="0"/>
              <w:tabs>
                <w:tab w:val="left" w:pos="1422"/>
                <w:tab w:val="left" w:pos="4734"/>
                <w:tab w:val="left" w:pos="5220"/>
              </w:tabs>
              <w:rPr>
                <w:sz w:val="20"/>
                <w:szCs w:val="20"/>
              </w:rPr>
            </w:pPr>
            <w:r>
              <w:rPr>
                <w:color w:val="000000"/>
                <w:sz w:val="20"/>
                <w:szCs w:val="20"/>
              </w:rPr>
              <w:t>Номер рахунку(IBAN):</w:t>
            </w:r>
            <w:r>
              <w:rPr>
                <w:rFonts w:eastAsia="Calibri" w:cs="Calibri"/>
                <w:color w:val="000000"/>
                <w:sz w:val="20"/>
                <w:szCs w:val="20"/>
              </w:rPr>
              <w:t>UA</w:t>
            </w:r>
            <w:r w:rsidRPr="00766AB5">
              <w:rPr>
                <w:rFonts w:eastAsia="Calibri" w:cs="Calibri"/>
                <w:color w:val="000000"/>
                <w:sz w:val="20"/>
                <w:szCs w:val="20"/>
              </w:rPr>
              <w:t>688201720355119077000001687</w:t>
            </w:r>
          </w:p>
          <w:p w:rsidR="00031F63" w:rsidRDefault="00031F63" w:rsidP="00031F63">
            <w:pPr>
              <w:widowControl w:val="0"/>
              <w:tabs>
                <w:tab w:val="left" w:pos="1422"/>
                <w:tab w:val="left" w:pos="4734"/>
                <w:tab w:val="left" w:pos="5220"/>
              </w:tabs>
              <w:jc w:val="both"/>
              <w:rPr>
                <w:rFonts w:eastAsia="Calibri" w:cs="Calibri"/>
                <w:color w:val="000000"/>
                <w:sz w:val="20"/>
                <w:szCs w:val="20"/>
                <w:u w:val="single"/>
                <w:lang w:eastAsia="uk-UA"/>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*;4</w:t>
            </w:r>
            <w:r w:rsidRPr="00766AB5">
              <w:rPr>
                <w:rFonts w:eastAsia="Calibri" w:cs="Calibri"/>
                <w:color w:val="000000"/>
                <w:sz w:val="20"/>
                <w:szCs w:val="20"/>
                <w:lang w:eastAsia="uk-UA"/>
              </w:rPr>
              <w:t xml:space="preserve">52606; </w:t>
            </w:r>
            <w:r w:rsidRPr="00766AB5">
              <w:rPr>
                <w:rFonts w:eastAsia="Calibri"/>
                <w:color w:val="000000"/>
                <w:sz w:val="20"/>
                <w:szCs w:val="20"/>
                <w:lang w:eastAsia="uk-UA"/>
              </w:rPr>
              <w:t>990126</w:t>
            </w:r>
            <w:r w:rsidRPr="00766AB5">
              <w:rPr>
                <w:rFonts w:eastAsia="Calibri"/>
                <w:color w:val="000000"/>
                <w:sz w:val="20"/>
                <w:szCs w:val="20"/>
                <w:lang w:eastAsia="zh-CN"/>
              </w:rPr>
              <w:t>6</w:t>
            </w:r>
            <w:r w:rsidRPr="00766AB5">
              <w:rPr>
                <w:rFonts w:eastAsia="Calibri" w:cs="Calibri"/>
                <w:color w:val="000000"/>
                <w:sz w:val="20"/>
                <w:szCs w:val="20"/>
                <w:lang w:eastAsia="uk-UA"/>
              </w:rPr>
              <w:t>;</w:t>
            </w:r>
            <w:r>
              <w:rPr>
                <w:rFonts w:eastAsia="Calibri" w:cs="Calibri"/>
                <w:color w:val="000000"/>
                <w:sz w:val="20"/>
                <w:szCs w:val="20"/>
                <w:lang w:eastAsia="uk-UA"/>
              </w:rPr>
              <w:t xml:space="preserve"> 1 *</w:t>
            </w:r>
            <w:r>
              <w:rPr>
                <w:rFonts w:eastAsia="Calibri"/>
                <w:color w:val="000000"/>
                <w:sz w:val="20"/>
                <w:szCs w:val="20"/>
                <w:lang w:eastAsia="uk-UA"/>
              </w:rPr>
              <w:t>Адміністративний збір за продовження строку перебування чи тимчасового проживання іноземців та осіб без громадянства на території України (в розмірі 0,1 прожиткового мінімуму, встановленого для працездатних осіб на 1 січня календарного року)</w:t>
            </w:r>
            <w:r>
              <w:rPr>
                <w:rFonts w:eastAsia="Calibri" w:cs="Calibri"/>
                <w:color w:val="000000"/>
                <w:sz w:val="20"/>
                <w:szCs w:val="20"/>
                <w:lang w:eastAsia="uk-UA"/>
              </w:rPr>
              <w:t>;</w:t>
            </w:r>
            <w:r>
              <w:rPr>
                <w:rFonts w:eastAsia="Calibri" w:cs="Calibri"/>
                <w:color w:val="000000"/>
                <w:sz w:val="20"/>
                <w:szCs w:val="20"/>
                <w:u w:val="single"/>
                <w:lang w:eastAsia="uk-UA"/>
              </w:rPr>
              <w:t xml:space="preserve"> П І Б іноземця  серія та номер паспортного документа або  ідентифікаційний код (за наявності).</w:t>
            </w:r>
          </w:p>
          <w:p w:rsidR="00031F63" w:rsidRDefault="00031F63" w:rsidP="00031F63">
            <w:pPr>
              <w:widowControl w:val="0"/>
              <w:tabs>
                <w:tab w:val="left" w:pos="1422"/>
                <w:tab w:val="left" w:pos="4734"/>
                <w:tab w:val="left" w:pos="5220"/>
              </w:tabs>
              <w:jc w:val="both"/>
              <w:rPr>
                <w:rFonts w:eastAsia="Calibri" w:cs="Calibri"/>
                <w:color w:val="000000"/>
                <w:sz w:val="20"/>
                <w:szCs w:val="20"/>
                <w:u w:val="single"/>
                <w:lang w:eastAsia="uk-UA"/>
              </w:rPr>
            </w:pPr>
          </w:p>
          <w:p w:rsidR="00031F63" w:rsidRDefault="00031F63" w:rsidP="00031F63">
            <w:pPr>
              <w:jc w:val="both"/>
              <w:rPr>
                <w:sz w:val="20"/>
                <w:szCs w:val="20"/>
              </w:rPr>
            </w:pPr>
            <w:r>
              <w:rPr>
                <w:sz w:val="20"/>
                <w:szCs w:val="20"/>
              </w:rPr>
              <w:t>Державне мито – 17</w:t>
            </w:r>
            <w:r w:rsidRPr="00DC5B58">
              <w:rPr>
                <w:sz w:val="20"/>
                <w:szCs w:val="20"/>
              </w:rPr>
              <w:t>,00 грн</w:t>
            </w:r>
            <w:r>
              <w:rPr>
                <w:sz w:val="20"/>
                <w:szCs w:val="20"/>
              </w:rPr>
              <w:t>. (1 неоподатковуваних мінімум</w:t>
            </w:r>
            <w:r w:rsidRPr="00DC5B58">
              <w:rPr>
                <w:sz w:val="20"/>
                <w:szCs w:val="20"/>
              </w:rPr>
              <w:t xml:space="preserve"> доходів громадян).</w:t>
            </w:r>
          </w:p>
          <w:p w:rsidR="00834B1E" w:rsidRPr="00DC5B58" w:rsidRDefault="00834B1E" w:rsidP="00031F63">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031F63" w:rsidRPr="00DC5B58" w:rsidRDefault="00031F63" w:rsidP="00031F63">
            <w:pPr>
              <w:pStyle w:val="a8"/>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031F63" w:rsidRPr="00DC5B58" w:rsidRDefault="00031F63" w:rsidP="00031F63">
            <w:pPr>
              <w:jc w:val="both"/>
              <w:rPr>
                <w:sz w:val="20"/>
                <w:szCs w:val="20"/>
              </w:rPr>
            </w:pPr>
            <w:r w:rsidRPr="00DC5B58">
              <w:rPr>
                <w:sz w:val="20"/>
                <w:szCs w:val="20"/>
              </w:rPr>
              <w:t xml:space="preserve">Код ЄДРПОУ: </w:t>
            </w:r>
            <w:r w:rsidRPr="00DC5B58">
              <w:rPr>
                <w:color w:val="000000"/>
                <w:sz w:val="20"/>
                <w:szCs w:val="20"/>
              </w:rPr>
              <w:t>37951998</w:t>
            </w:r>
          </w:p>
          <w:p w:rsidR="00031F63" w:rsidRPr="00DC5B58" w:rsidRDefault="00031F63" w:rsidP="00031F63">
            <w:pPr>
              <w:jc w:val="both"/>
              <w:rPr>
                <w:sz w:val="20"/>
                <w:szCs w:val="20"/>
              </w:rPr>
            </w:pPr>
            <w:r w:rsidRPr="00DC5B58">
              <w:rPr>
                <w:sz w:val="20"/>
                <w:szCs w:val="20"/>
              </w:rPr>
              <w:t xml:space="preserve">Код банку отримувача: </w:t>
            </w:r>
          </w:p>
          <w:p w:rsidR="00031F63" w:rsidRPr="00DC5B58" w:rsidRDefault="00031F63" w:rsidP="00031F63">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031F63" w:rsidRPr="00DC5B58" w:rsidRDefault="00031F63" w:rsidP="00031F63">
            <w:pPr>
              <w:rPr>
                <w:sz w:val="20"/>
                <w:szCs w:val="20"/>
              </w:rPr>
            </w:pPr>
            <w:r w:rsidRPr="00DC5B58">
              <w:rPr>
                <w:sz w:val="20"/>
                <w:szCs w:val="20"/>
              </w:rPr>
              <w:t>р/</w:t>
            </w:r>
            <w:proofErr w:type="spellStart"/>
            <w:r w:rsidRPr="00DC5B58">
              <w:rPr>
                <w:sz w:val="20"/>
                <w:szCs w:val="20"/>
              </w:rPr>
              <w:t>р</w:t>
            </w:r>
            <w:proofErr w:type="spellEnd"/>
            <w:r w:rsidRPr="00DC5B58">
              <w:rPr>
                <w:sz w:val="20"/>
                <w:szCs w:val="20"/>
              </w:rPr>
              <w:t xml:space="preserve"> </w:t>
            </w:r>
            <w:r w:rsidRPr="00DC5B58">
              <w:rPr>
                <w:sz w:val="20"/>
                <w:szCs w:val="20"/>
                <w:lang w:val="en-US"/>
              </w:rPr>
              <w:t>UA</w:t>
            </w:r>
            <w:r>
              <w:rPr>
                <w:sz w:val="20"/>
                <w:szCs w:val="20"/>
              </w:rPr>
              <w:t>518999980314050538000009644</w:t>
            </w:r>
          </w:p>
          <w:p w:rsidR="00031F63" w:rsidRDefault="00031F63" w:rsidP="00031F63">
            <w:pPr>
              <w:jc w:val="both"/>
              <w:rPr>
                <w:sz w:val="20"/>
                <w:szCs w:val="20"/>
              </w:rPr>
            </w:pPr>
            <w:r>
              <w:rPr>
                <w:sz w:val="20"/>
                <w:szCs w:val="20"/>
              </w:rPr>
              <w:t>Код послуги: 22090400</w:t>
            </w:r>
          </w:p>
          <w:p w:rsidR="0040668A" w:rsidRPr="004E3D4E" w:rsidRDefault="0040668A" w:rsidP="00E5477F">
            <w:pPr>
              <w:jc w:val="both"/>
              <w:rPr>
                <w:rFonts w:eastAsia="Times New Roman" w:cs="Times New Roman"/>
                <w:sz w:val="20"/>
                <w:szCs w:val="20"/>
                <w:lang w:eastAsia="uk-UA"/>
              </w:rPr>
            </w:pP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5F4658">
              <w:rPr>
                <w:rFonts w:eastAsia="Times New Roman" w:cs="Times New Roman"/>
                <w:sz w:val="20"/>
                <w:szCs w:val="20"/>
                <w:lang w:eastAsia="uk-UA"/>
              </w:rPr>
              <w:lastRenderedPageBreak/>
              <w:t xml:space="preserve">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2" w:name="n171"/>
            <w:bookmarkEnd w:id="12"/>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3" w:name="n172"/>
            <w:bookmarkEnd w:id="13"/>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4" w:name="n173"/>
            <w:bookmarkEnd w:id="14"/>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5" w:name="n174"/>
            <w:bookmarkEnd w:id="15"/>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6" w:name="n175"/>
            <w:bookmarkEnd w:id="16"/>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7" w:name="n176"/>
            <w:bookmarkEnd w:id="17"/>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8" w:name="n177"/>
            <w:bookmarkEnd w:id="18"/>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9" w:name="n178"/>
            <w:bookmarkEnd w:id="19"/>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20" w:name="n167"/>
            <w:bookmarkEnd w:id="20"/>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7"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1" w:name="n168"/>
            <w:bookmarkEnd w:id="21"/>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2" w:name="n169"/>
            <w:bookmarkEnd w:id="22"/>
            <w:r w:rsidRPr="00422664">
              <w:rPr>
                <w:rFonts w:eastAsia="Times New Roman" w:cs="Times New Roman"/>
                <w:sz w:val="20"/>
                <w:szCs w:val="20"/>
                <w:lang w:eastAsia="uk-UA"/>
              </w:rPr>
              <w:lastRenderedPageBreak/>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3" w:name="n180"/>
            <w:bookmarkEnd w:id="23"/>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Default="00E8675B" w:rsidP="00E8675B">
      <w:pPr>
        <w:rPr>
          <w:rFonts w:ascii="Verdana" w:eastAsia="Times New Roman" w:hAnsi="Verdana" w:cs="Times New Roman"/>
          <w:sz w:val="16"/>
          <w:szCs w:val="16"/>
          <w:lang w:eastAsia="uk-UA"/>
        </w:rPr>
      </w:pPr>
    </w:p>
    <w:p w:rsidR="00BE2FBF" w:rsidRPr="00E8675B" w:rsidRDefault="00BE2FBF" w:rsidP="00E8675B">
      <w:pPr>
        <w:rPr>
          <w:rFonts w:ascii="Verdana" w:eastAsia="Times New Roman" w:hAnsi="Verdana" w:cs="Times New Roman"/>
          <w:sz w:val="16"/>
          <w:szCs w:val="16"/>
          <w:lang w:eastAsia="uk-UA"/>
        </w:rPr>
      </w:pPr>
    </w:p>
    <w:p w:rsidR="00BE2FBF" w:rsidRDefault="00236470" w:rsidP="00236470">
      <w:pPr>
        <w:widowControl w:val="0"/>
        <w:autoSpaceDE w:val="0"/>
        <w:autoSpaceDN w:val="0"/>
        <w:adjustRightInd w:val="0"/>
        <w:ind w:right="-23"/>
        <w:jc w:val="both"/>
        <w:rPr>
          <w:b/>
          <w:bCs/>
          <w:spacing w:val="-2"/>
          <w:sz w:val="20"/>
          <w:szCs w:val="20"/>
        </w:rPr>
      </w:pPr>
      <w:r w:rsidRPr="0013207B">
        <w:rPr>
          <w:b/>
          <w:bCs/>
          <w:spacing w:val="-2"/>
          <w:sz w:val="20"/>
          <w:szCs w:val="20"/>
        </w:rPr>
        <w:t>Начальник</w:t>
      </w:r>
    </w:p>
    <w:p w:rsidR="00236470" w:rsidRPr="0013207B" w:rsidRDefault="00236470" w:rsidP="00236470">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w:t>
      </w:r>
      <w:r>
        <w:rPr>
          <w:b/>
          <w:bCs/>
          <w:spacing w:val="-2"/>
          <w:sz w:val="20"/>
          <w:szCs w:val="20"/>
        </w:rPr>
        <w:t>сівського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r>
      <w:r w:rsidRPr="0013207B">
        <w:rPr>
          <w:b/>
          <w:bCs/>
          <w:spacing w:val="-2"/>
          <w:sz w:val="20"/>
          <w:szCs w:val="20"/>
        </w:rPr>
        <w:tab/>
        <w:t>Надія ПИШИК</w:t>
      </w:r>
    </w:p>
    <w:p w:rsidR="00A97F76" w:rsidRDefault="00A97F76"/>
    <w:sectPr w:rsidR="00A97F76"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9A4" w:rsidRDefault="00EA69A4">
      <w:r>
        <w:separator/>
      </w:r>
    </w:p>
  </w:endnote>
  <w:endnote w:type="continuationSeparator" w:id="0">
    <w:p w:rsidR="00EA69A4" w:rsidRDefault="00EA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9A4" w:rsidRDefault="00EA69A4">
      <w:r>
        <w:separator/>
      </w:r>
    </w:p>
  </w:footnote>
  <w:footnote w:type="continuationSeparator" w:id="0">
    <w:p w:rsidR="00EA69A4" w:rsidRDefault="00EA6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22" w:rsidRDefault="00B10E44">
    <w:pPr>
      <w:pStyle w:val="a3"/>
      <w:jc w:val="center"/>
      <w:rPr>
        <w:sz w:val="22"/>
      </w:rPr>
    </w:pPr>
    <w:r>
      <w:rPr>
        <w:sz w:val="22"/>
      </w:rPr>
      <w:fldChar w:fldCharType="begin"/>
    </w:r>
    <w:r w:rsidR="00422664">
      <w:rPr>
        <w:sz w:val="22"/>
      </w:rPr>
      <w:instrText>PAGE</w:instrText>
    </w:r>
    <w:r>
      <w:rPr>
        <w:sz w:val="22"/>
      </w:rPr>
      <w:fldChar w:fldCharType="separate"/>
    </w:r>
    <w:r w:rsidR="00915CE4">
      <w:rPr>
        <w:noProof/>
        <w:sz w:val="22"/>
      </w:rPr>
      <w:t>6</w:t>
    </w:r>
    <w:r>
      <w:rPr>
        <w:sz w:val="22"/>
      </w:rPr>
      <w:fldChar w:fldCharType="end"/>
    </w:r>
  </w:p>
  <w:p w:rsidR="00B67922" w:rsidRDefault="00EA69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8675B"/>
    <w:rsid w:val="00031F63"/>
    <w:rsid w:val="000C6444"/>
    <w:rsid w:val="001D10AB"/>
    <w:rsid w:val="001D5B68"/>
    <w:rsid w:val="0020437C"/>
    <w:rsid w:val="00233496"/>
    <w:rsid w:val="00236470"/>
    <w:rsid w:val="002A19F9"/>
    <w:rsid w:val="002C6AA7"/>
    <w:rsid w:val="002D590E"/>
    <w:rsid w:val="002E3F86"/>
    <w:rsid w:val="00315F4F"/>
    <w:rsid w:val="0038453A"/>
    <w:rsid w:val="003F7E4D"/>
    <w:rsid w:val="00404667"/>
    <w:rsid w:val="0040668A"/>
    <w:rsid w:val="00422664"/>
    <w:rsid w:val="00440349"/>
    <w:rsid w:val="004E3D4E"/>
    <w:rsid w:val="00566446"/>
    <w:rsid w:val="005833B9"/>
    <w:rsid w:val="005955D9"/>
    <w:rsid w:val="005C67F5"/>
    <w:rsid w:val="005F4658"/>
    <w:rsid w:val="006557E7"/>
    <w:rsid w:val="00673F9D"/>
    <w:rsid w:val="006B7DB8"/>
    <w:rsid w:val="006D7907"/>
    <w:rsid w:val="00752EDB"/>
    <w:rsid w:val="00757EB2"/>
    <w:rsid w:val="00834B1E"/>
    <w:rsid w:val="008552AC"/>
    <w:rsid w:val="00866386"/>
    <w:rsid w:val="00881610"/>
    <w:rsid w:val="0089461E"/>
    <w:rsid w:val="008A0208"/>
    <w:rsid w:val="008D04E2"/>
    <w:rsid w:val="00904E6F"/>
    <w:rsid w:val="00915CE4"/>
    <w:rsid w:val="0093469E"/>
    <w:rsid w:val="009A031E"/>
    <w:rsid w:val="009D2E76"/>
    <w:rsid w:val="009E1528"/>
    <w:rsid w:val="009F56FC"/>
    <w:rsid w:val="00A03804"/>
    <w:rsid w:val="00A17A24"/>
    <w:rsid w:val="00A206D2"/>
    <w:rsid w:val="00A233B0"/>
    <w:rsid w:val="00A42E56"/>
    <w:rsid w:val="00A97F76"/>
    <w:rsid w:val="00AB4C51"/>
    <w:rsid w:val="00B10E44"/>
    <w:rsid w:val="00B33D12"/>
    <w:rsid w:val="00BA2879"/>
    <w:rsid w:val="00BA6052"/>
    <w:rsid w:val="00BE2FBF"/>
    <w:rsid w:val="00C61D90"/>
    <w:rsid w:val="00DD675B"/>
    <w:rsid w:val="00DE54B8"/>
    <w:rsid w:val="00DF262E"/>
    <w:rsid w:val="00E052CA"/>
    <w:rsid w:val="00E5477F"/>
    <w:rsid w:val="00E8675B"/>
    <w:rsid w:val="00EA69A4"/>
    <w:rsid w:val="00F276CF"/>
    <w:rsid w:val="00F770D8"/>
    <w:rsid w:val="00FC21B1"/>
    <w:rsid w:val="00FD22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4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і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у виносці Знак"/>
    <w:basedOn w:val="a0"/>
    <w:link w:val="a6"/>
    <w:uiPriority w:val="99"/>
    <w:semiHidden/>
    <w:rsid w:val="00DD675B"/>
    <w:rPr>
      <w:rFonts w:ascii="Tahoma" w:hAnsi="Tahoma" w:cs="Tahoma"/>
      <w:sz w:val="16"/>
      <w:szCs w:val="16"/>
    </w:rPr>
  </w:style>
  <w:style w:type="paragraph" w:styleId="a8">
    <w:name w:val="No Spacing"/>
    <w:qFormat/>
    <w:rsid w:val="00031F63"/>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і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у виносці Знак"/>
    <w:basedOn w:val="a0"/>
    <w:link w:val="a6"/>
    <w:uiPriority w:val="99"/>
    <w:semiHidden/>
    <w:rsid w:val="00DD6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620@dmsu.gov.ua"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50-2012-%D0%BF" TargetMode="External"/><Relationship Id="rId17" Type="http://schemas.openxmlformats.org/officeDocument/2006/relationships/hyperlink" Target="https://zakon.rada.gov.ua/laws/show/150-2012-%D0%BF" TargetMode="Externa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50-2012-%D0%BF" TargetMode="External"/><Relationship Id="rId5" Type="http://schemas.openxmlformats.org/officeDocument/2006/relationships/webSettings" Target="webSetting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FE16B-22A3-4253-B7EE-621E48A4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10977</Words>
  <Characters>6258</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17</cp:revision>
  <cp:lastPrinted>2025-10-01T06:35:00Z</cp:lastPrinted>
  <dcterms:created xsi:type="dcterms:W3CDTF">2025-11-05T10:49:00Z</dcterms:created>
  <dcterms:modified xsi:type="dcterms:W3CDTF">2025-11-27T08:59:00Z</dcterms:modified>
</cp:coreProperties>
</file>